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8B" w:rsidRDefault="0044598B"/>
    <w:p w:rsidR="001E3384" w:rsidRDefault="001E3384"/>
    <w:p w:rsidR="001E3384" w:rsidRDefault="001E3384"/>
    <w:p w:rsidR="001E3384" w:rsidRDefault="001E3384"/>
    <w:p w:rsidR="00A24A2C" w:rsidRDefault="00A24A2C"/>
    <w:p w:rsidR="00D52276" w:rsidRPr="00C81E71" w:rsidRDefault="00D52276" w:rsidP="00D52276">
      <w:pPr>
        <w:pStyle w:val="Titolo2"/>
        <w:keepNext w:val="0"/>
        <w:keepLines w:val="0"/>
        <w:widowControl w:val="0"/>
        <w:numPr>
          <w:ilvl w:val="1"/>
          <w:numId w:val="0"/>
        </w:numPr>
        <w:tabs>
          <w:tab w:val="num" w:pos="284"/>
        </w:tabs>
        <w:suppressAutoHyphens/>
        <w:spacing w:before="240" w:after="80" w:line="264" w:lineRule="auto"/>
        <w:ind w:left="142" w:hanging="142"/>
        <w:jc w:val="center"/>
        <w:rPr>
          <w:color w:val="0000CC"/>
          <w:sz w:val="28"/>
          <w:szCs w:val="28"/>
        </w:rPr>
      </w:pPr>
      <w:bookmarkStart w:id="0" w:name="_Toc473559460"/>
      <w:r>
        <w:rPr>
          <w:noProof/>
        </w:rPr>
        <w:t xml:space="preserve"> </w:t>
      </w:r>
      <w:r w:rsidR="005D794A" w:rsidRPr="00C81E71">
        <w:rPr>
          <w:noProof/>
          <w:color w:val="0000CC"/>
        </w:rPr>
        <w:drawing>
          <wp:inline distT="0" distB="0" distL="0" distR="0" wp14:anchorId="33EAAC87" wp14:editId="4CE99347">
            <wp:extent cx="1295400" cy="111195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pho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56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E71">
        <w:rPr>
          <w:color w:val="0000CC"/>
          <w:sz w:val="28"/>
          <w:szCs w:val="28"/>
        </w:rPr>
        <w:t>Bonus Assunzioni 2017</w:t>
      </w:r>
    </w:p>
    <w:p w:rsidR="00493F24" w:rsidRPr="00C81E71" w:rsidRDefault="00493F24" w:rsidP="00D52276">
      <w:pPr>
        <w:pStyle w:val="Titolo2"/>
        <w:keepNext w:val="0"/>
        <w:keepLines w:val="0"/>
        <w:widowControl w:val="0"/>
        <w:numPr>
          <w:ilvl w:val="1"/>
          <w:numId w:val="0"/>
        </w:numPr>
        <w:tabs>
          <w:tab w:val="num" w:pos="284"/>
        </w:tabs>
        <w:suppressAutoHyphens/>
        <w:spacing w:before="240" w:after="80" w:line="264" w:lineRule="auto"/>
        <w:ind w:left="142" w:hanging="142"/>
        <w:jc w:val="center"/>
        <w:rPr>
          <w:color w:val="0000CC"/>
          <w:sz w:val="28"/>
          <w:szCs w:val="28"/>
        </w:rPr>
      </w:pPr>
      <w:r w:rsidRPr="00C81E71">
        <w:rPr>
          <w:color w:val="0000CC"/>
          <w:sz w:val="28"/>
          <w:szCs w:val="28"/>
        </w:rPr>
        <w:t>Incentivo Occupazion</w:t>
      </w:r>
      <w:bookmarkStart w:id="1" w:name="_GoBack"/>
      <w:bookmarkEnd w:id="1"/>
      <w:r w:rsidRPr="00C81E71">
        <w:rPr>
          <w:color w:val="0000CC"/>
          <w:sz w:val="28"/>
          <w:szCs w:val="28"/>
        </w:rPr>
        <w:t>e Giovani</w:t>
      </w:r>
      <w:bookmarkEnd w:id="0"/>
      <w:r w:rsidR="00D52276" w:rsidRPr="00C81E71">
        <w:rPr>
          <w:color w:val="0000CC"/>
          <w:sz w:val="28"/>
          <w:szCs w:val="28"/>
        </w:rPr>
        <w:t xml:space="preserve"> </w:t>
      </w:r>
    </w:p>
    <w:p w:rsidR="00493F24" w:rsidRPr="00D52276" w:rsidRDefault="00493F24" w:rsidP="00493F24">
      <w:pPr>
        <w:rPr>
          <w:rFonts w:asciiTheme="majorHAnsi" w:hAnsiTheme="majorHAnsi" w:cstheme="majorHAnsi"/>
        </w:rPr>
      </w:pPr>
    </w:p>
    <w:p w:rsidR="00493F24" w:rsidRPr="00D52276" w:rsidRDefault="00493F24" w:rsidP="00493F24">
      <w:pPr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 xml:space="preserve">Con la pubblicazione dei decreti che stabiliscono il termine di chiusura/decadenza del Bonus Occupazione e la data ultima per le assunzioni incentivabili con il bonus occupazionale di Garanzia Giovani, finisce l'era del vecchio incentivo e si apre quella dei due nuovi: </w:t>
      </w:r>
      <w:r w:rsidRPr="00D52276">
        <w:rPr>
          <w:rFonts w:asciiTheme="majorHAnsi" w:eastAsia="Verdana" w:hAnsiTheme="majorHAnsi" w:cstheme="majorHAnsi"/>
          <w:b/>
        </w:rPr>
        <w:t>Occupazione Sud e Occupazione Giovani</w:t>
      </w:r>
      <w:r w:rsidRPr="00D52276">
        <w:rPr>
          <w:rFonts w:asciiTheme="majorHAnsi" w:eastAsia="Verdana" w:hAnsiTheme="majorHAnsi" w:cstheme="majorHAnsi"/>
        </w:rPr>
        <w:t>.</w:t>
      </w:r>
    </w:p>
    <w:p w:rsidR="00493F24" w:rsidRPr="00D52276" w:rsidRDefault="00493F24" w:rsidP="00493F24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60" w:line="264" w:lineRule="auto"/>
        <w:ind w:left="720" w:hanging="720"/>
        <w:rPr>
          <w:rFonts w:eastAsia="HGPｺﾞｼｯｸE" w:cstheme="majorHAnsi"/>
          <w:color w:val="0000CC"/>
        </w:rPr>
      </w:pPr>
      <w:bookmarkStart w:id="2" w:name="_Toc473559462"/>
      <w:r w:rsidRPr="00D52276">
        <w:rPr>
          <w:rFonts w:cstheme="majorHAnsi"/>
          <w:color w:val="0000CC"/>
        </w:rPr>
        <w:t>Nuovi incentivi</w:t>
      </w:r>
      <w:bookmarkEnd w:id="2"/>
    </w:p>
    <w:p w:rsidR="00493F24" w:rsidRPr="00D52276" w:rsidRDefault="00493F24" w:rsidP="00493F24">
      <w:pPr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>A partire dal 1° gennaio 2017 tutte le assunzioni di giovani sono incentivabili con i bonus “Occupazione Sud” e “Occupazione Giovani”.</w:t>
      </w:r>
    </w:p>
    <w:p w:rsidR="00493F24" w:rsidRPr="00D52276" w:rsidRDefault="00493F24" w:rsidP="00493F24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60" w:line="264" w:lineRule="auto"/>
        <w:ind w:left="720" w:hanging="720"/>
        <w:rPr>
          <w:rFonts w:eastAsia="HGPｺﾞｼｯｸE" w:cstheme="majorHAnsi"/>
          <w:color w:val="0000CC"/>
        </w:rPr>
      </w:pPr>
      <w:bookmarkStart w:id="3" w:name="_Toc473559463"/>
      <w:r w:rsidRPr="00D52276">
        <w:rPr>
          <w:rFonts w:cstheme="majorHAnsi"/>
          <w:color w:val="0000CC"/>
        </w:rPr>
        <w:t>Incentivo Occupazione Giovani</w:t>
      </w:r>
      <w:bookmarkEnd w:id="3"/>
    </w:p>
    <w:p w:rsidR="00493F24" w:rsidRPr="00D52276" w:rsidRDefault="00493F24" w:rsidP="00493F24">
      <w:pPr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 xml:space="preserve">La misura, che si inserisce nel solco del programma Garanzia Giovani, è specificamente diretta a </w:t>
      </w:r>
      <w:r w:rsidRPr="00D52276">
        <w:rPr>
          <w:rFonts w:asciiTheme="majorHAnsi" w:eastAsia="Verdana" w:hAnsiTheme="majorHAnsi" w:cstheme="majorHAnsi"/>
          <w:b/>
        </w:rPr>
        <w:t>chi assume nel 2017</w:t>
      </w:r>
      <w:r w:rsidRPr="00D52276">
        <w:rPr>
          <w:rFonts w:asciiTheme="majorHAnsi" w:eastAsia="Verdana" w:hAnsiTheme="majorHAnsi" w:cstheme="majorHAnsi"/>
        </w:rPr>
        <w:t xml:space="preserve"> (assunzioni effettuate - nei limiti delle disponibilità finanziarie – dal 1° gennaio 2017 al 31 dicembre 2017).</w:t>
      </w:r>
    </w:p>
    <w:p w:rsidR="00493F24" w:rsidRPr="00D52276" w:rsidRDefault="00493F24" w:rsidP="00493F24">
      <w:pPr>
        <w:jc w:val="both"/>
        <w:rPr>
          <w:rFonts w:asciiTheme="majorHAnsi" w:eastAsia="Verdana" w:hAnsiTheme="majorHAnsi" w:cstheme="majorHAnsi"/>
        </w:rPr>
      </w:pPr>
    </w:p>
    <w:p w:rsidR="00493F24" w:rsidRPr="00D52276" w:rsidRDefault="00493F24" w:rsidP="00D52276">
      <w:pPr>
        <w:jc w:val="center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  <w:b/>
          <w:color w:val="0000CC"/>
        </w:rPr>
        <w:t>L’incentivo deve essere fruito, a pena di decadenza, entro il termine del 28 febbraio 2019</w:t>
      </w:r>
      <w:r w:rsidRPr="00D52276">
        <w:rPr>
          <w:rFonts w:asciiTheme="majorHAnsi" w:eastAsia="Verdana" w:hAnsiTheme="majorHAnsi" w:cstheme="majorHAnsi"/>
        </w:rPr>
        <w:t>.</w:t>
      </w:r>
    </w:p>
    <w:p w:rsidR="00D52276" w:rsidRPr="00D52276" w:rsidRDefault="00D52276" w:rsidP="00D52276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60" w:line="264" w:lineRule="auto"/>
        <w:ind w:left="720" w:hanging="720"/>
        <w:rPr>
          <w:rFonts w:eastAsia="HGPｺﾞｼｯｸE" w:cstheme="majorHAnsi"/>
          <w:color w:val="0000CC"/>
        </w:rPr>
      </w:pPr>
      <w:bookmarkStart w:id="4" w:name="_Toc473559467"/>
      <w:r w:rsidRPr="00D52276">
        <w:rPr>
          <w:rFonts w:cstheme="majorHAnsi"/>
          <w:color w:val="0000CC"/>
        </w:rPr>
        <w:t>Quantum</w:t>
      </w:r>
      <w:bookmarkEnd w:id="4"/>
    </w:p>
    <w:p w:rsidR="00D52276" w:rsidRPr="00D52276" w:rsidRDefault="00D52276" w:rsidP="00D52276">
      <w:pPr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>In caso di contratto a tempo indeterminato o apprendistato il datore ha diritto:</w:t>
      </w:r>
    </w:p>
    <w:p w:rsidR="00D52276" w:rsidRPr="00D52276" w:rsidRDefault="00D52276" w:rsidP="00D52276">
      <w:pPr>
        <w:jc w:val="both"/>
        <w:rPr>
          <w:rFonts w:asciiTheme="majorHAnsi" w:eastAsia="Verdana" w:hAnsiTheme="majorHAnsi" w:cstheme="majorHAnsi"/>
        </w:rPr>
      </w:pPr>
    </w:p>
    <w:p w:rsidR="00D52276" w:rsidRPr="00D52276" w:rsidRDefault="00D52276" w:rsidP="00D52276">
      <w:pPr>
        <w:widowControl w:val="0"/>
        <w:numPr>
          <w:ilvl w:val="0"/>
          <w:numId w:val="17"/>
        </w:numPr>
        <w:suppressAutoHyphens/>
        <w:spacing w:line="264" w:lineRule="auto"/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 xml:space="preserve">per il full time, allo sgravio dei contributi previdenziali a carico del datore di lavoro, con esclusione dei premi e contributi INAIL, di </w:t>
      </w:r>
      <w:r w:rsidRPr="00D52276">
        <w:rPr>
          <w:rFonts w:asciiTheme="majorHAnsi" w:eastAsia="Verdana" w:hAnsiTheme="majorHAnsi" w:cstheme="majorHAnsi"/>
          <w:b/>
        </w:rPr>
        <w:t xml:space="preserve">importo massimo di 8.060 </w:t>
      </w:r>
      <w:r w:rsidRPr="00D52276">
        <w:rPr>
          <w:rFonts w:asciiTheme="majorHAnsi" w:eastAsia="Verdana" w:hAnsiTheme="majorHAnsi" w:cstheme="majorHAnsi"/>
          <w:b/>
          <w:caps/>
        </w:rPr>
        <w:t>€</w:t>
      </w:r>
      <w:r w:rsidRPr="00D52276">
        <w:rPr>
          <w:rFonts w:asciiTheme="majorHAnsi" w:eastAsia="Verdana" w:hAnsiTheme="majorHAnsi" w:cstheme="majorHAnsi"/>
        </w:rPr>
        <w:t xml:space="preserve"> per giovane assunto;</w:t>
      </w:r>
    </w:p>
    <w:p w:rsidR="00D52276" w:rsidRPr="00D52276" w:rsidRDefault="00D52276" w:rsidP="00D52276">
      <w:pPr>
        <w:widowControl w:val="0"/>
        <w:numPr>
          <w:ilvl w:val="0"/>
          <w:numId w:val="17"/>
        </w:numPr>
        <w:suppressAutoHyphens/>
        <w:spacing w:line="264" w:lineRule="auto"/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>in misura proporzionale in caso di part-time (comunque superiore a 24 ore settimanali) o di conclusione anticipata del rapporto di lavoro.</w:t>
      </w:r>
    </w:p>
    <w:p w:rsidR="00D52276" w:rsidRPr="00D52276" w:rsidRDefault="00D52276" w:rsidP="00D52276">
      <w:pPr>
        <w:jc w:val="both"/>
        <w:rPr>
          <w:rFonts w:asciiTheme="majorHAnsi" w:eastAsia="Verdana" w:hAnsiTheme="majorHAnsi" w:cstheme="majorHAnsi"/>
        </w:rPr>
      </w:pPr>
    </w:p>
    <w:p w:rsidR="00D52276" w:rsidRPr="00D52276" w:rsidRDefault="00D52276" w:rsidP="00D52276">
      <w:pPr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 xml:space="preserve">In caso di contratto a tempo determinato di almeno 6 mesi lo sgravio è pari al 50% e può essere al </w:t>
      </w:r>
      <w:r w:rsidRPr="00D52276">
        <w:rPr>
          <w:rFonts w:asciiTheme="majorHAnsi" w:eastAsia="Verdana" w:hAnsiTheme="majorHAnsi" w:cstheme="majorHAnsi"/>
          <w:b/>
        </w:rPr>
        <w:t xml:space="preserve">massimo di 4.030 </w:t>
      </w:r>
      <w:r w:rsidRPr="00D52276">
        <w:rPr>
          <w:rFonts w:asciiTheme="majorHAnsi" w:eastAsia="Verdana" w:hAnsiTheme="majorHAnsi" w:cstheme="majorHAnsi"/>
          <w:b/>
          <w:caps/>
        </w:rPr>
        <w:t>€</w:t>
      </w:r>
      <w:r w:rsidRPr="00D52276">
        <w:rPr>
          <w:rFonts w:asciiTheme="majorHAnsi" w:eastAsia="Verdana" w:hAnsiTheme="majorHAnsi" w:cstheme="majorHAnsi"/>
        </w:rPr>
        <w:t xml:space="preserve"> annui.</w:t>
      </w:r>
    </w:p>
    <w:p w:rsidR="00D52276" w:rsidRPr="00D52276" w:rsidRDefault="00D52276" w:rsidP="00D52276">
      <w:pPr>
        <w:jc w:val="both"/>
        <w:rPr>
          <w:rFonts w:asciiTheme="majorHAnsi" w:eastAsia="Verdana" w:hAnsiTheme="majorHAnsi" w:cstheme="majorHAnsi"/>
        </w:rPr>
      </w:pPr>
    </w:p>
    <w:p w:rsidR="00D52276" w:rsidRPr="00D52276" w:rsidRDefault="00D52276" w:rsidP="00D52276">
      <w:pPr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  <w:b/>
        </w:rPr>
        <w:t>Non è cumulabile</w:t>
      </w:r>
      <w:r w:rsidRPr="00D52276">
        <w:rPr>
          <w:rFonts w:asciiTheme="majorHAnsi" w:eastAsia="Verdana" w:hAnsiTheme="majorHAnsi" w:cstheme="majorHAnsi"/>
        </w:rPr>
        <w:t xml:space="preserve"> con altri incentivi all'assunzione di natura economica o contributiva non selettivi rispetto ai datori di lavoro o ai lavoratori. </w:t>
      </w:r>
    </w:p>
    <w:p w:rsidR="00493F24" w:rsidRPr="00D52276" w:rsidRDefault="00493F24" w:rsidP="00493F24">
      <w:pPr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 xml:space="preserve">Le risorse per il bonus saranno attinte dai fondi </w:t>
      </w:r>
      <w:r w:rsidR="00D52276" w:rsidRPr="00D52276">
        <w:rPr>
          <w:rFonts w:asciiTheme="majorHAnsi" w:eastAsia="Verdana" w:hAnsiTheme="majorHAnsi" w:cstheme="majorHAnsi"/>
          <w:caps/>
        </w:rPr>
        <w:t>€</w:t>
      </w:r>
      <w:r w:rsidRPr="00D52276">
        <w:rPr>
          <w:rFonts w:asciiTheme="majorHAnsi" w:eastAsia="Verdana" w:hAnsiTheme="majorHAnsi" w:cstheme="majorHAnsi"/>
        </w:rPr>
        <w:t xml:space="preserve">pei del Programma Operativo Nazionale "Sistemi di Politiche Attive del Lavoro" (PON SPAO). </w:t>
      </w:r>
    </w:p>
    <w:p w:rsidR="00493F24" w:rsidRPr="00D52276" w:rsidRDefault="00493F24" w:rsidP="00493F24">
      <w:pPr>
        <w:jc w:val="both"/>
        <w:rPr>
          <w:rFonts w:asciiTheme="majorHAnsi" w:eastAsia="Verdana" w:hAnsiTheme="majorHAnsi" w:cstheme="majorHAnsi"/>
        </w:rPr>
      </w:pPr>
    </w:p>
    <w:p w:rsidR="00D52276" w:rsidRPr="00D52276" w:rsidRDefault="00D52276" w:rsidP="00493F24">
      <w:pPr>
        <w:jc w:val="both"/>
        <w:rPr>
          <w:rFonts w:asciiTheme="majorHAnsi" w:eastAsia="Verdana" w:hAnsiTheme="majorHAnsi" w:cstheme="majorHAnsi"/>
        </w:rPr>
      </w:pPr>
    </w:p>
    <w:p w:rsidR="00D52276" w:rsidRPr="00D52276" w:rsidRDefault="00D52276" w:rsidP="00493F24">
      <w:pPr>
        <w:jc w:val="both"/>
        <w:rPr>
          <w:rFonts w:asciiTheme="majorHAnsi" w:eastAsia="Verdana" w:hAnsiTheme="majorHAnsi" w:cstheme="majorHAnsi"/>
        </w:rPr>
      </w:pPr>
    </w:p>
    <w:p w:rsidR="00D52276" w:rsidRPr="00D52276" w:rsidRDefault="00D52276" w:rsidP="00493F24">
      <w:pPr>
        <w:jc w:val="both"/>
        <w:rPr>
          <w:rFonts w:asciiTheme="majorHAnsi" w:eastAsia="Verdana" w:hAnsiTheme="majorHAnsi" w:cstheme="majorHAnsi"/>
        </w:rPr>
      </w:pPr>
    </w:p>
    <w:p w:rsidR="00D52276" w:rsidRPr="00D52276" w:rsidRDefault="00D52276" w:rsidP="00493F24">
      <w:pPr>
        <w:jc w:val="both"/>
        <w:rPr>
          <w:rFonts w:asciiTheme="majorHAnsi" w:eastAsia="Verdana" w:hAnsiTheme="majorHAnsi" w:cstheme="majorHAnsi"/>
        </w:rPr>
      </w:pPr>
    </w:p>
    <w:p w:rsidR="00493F24" w:rsidRPr="00D52276" w:rsidRDefault="00493F24" w:rsidP="00493F24">
      <w:pPr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 xml:space="preserve">La gestione dell’incentivo è affidata </w:t>
      </w:r>
      <w:r w:rsidRPr="00D52276">
        <w:rPr>
          <w:rFonts w:asciiTheme="majorHAnsi" w:eastAsia="Verdana" w:hAnsiTheme="majorHAnsi" w:cstheme="majorHAnsi"/>
          <w:b/>
        </w:rPr>
        <w:t>all'Inps</w:t>
      </w:r>
      <w:r w:rsidRPr="00D52276">
        <w:rPr>
          <w:rFonts w:asciiTheme="majorHAnsi" w:eastAsia="Verdana" w:hAnsiTheme="majorHAnsi" w:cstheme="majorHAnsi"/>
        </w:rPr>
        <w:t>: i datori di lavoro interessati dovranno inoltrare un'istanza telematica all'Istituto, con le modalità che saranno definite con apposita circolare.</w:t>
      </w:r>
    </w:p>
    <w:p w:rsidR="00493F24" w:rsidRPr="00D52276" w:rsidRDefault="00493F24" w:rsidP="00493F24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60" w:line="264" w:lineRule="auto"/>
        <w:ind w:left="720" w:hanging="720"/>
        <w:rPr>
          <w:rFonts w:eastAsia="HGPｺﾞｼｯｸE" w:cstheme="majorHAnsi"/>
          <w:color w:val="0000CC"/>
        </w:rPr>
      </w:pPr>
      <w:bookmarkStart w:id="5" w:name="_Toc473559464"/>
      <w:r w:rsidRPr="00D52276">
        <w:rPr>
          <w:rFonts w:cstheme="majorHAnsi"/>
          <w:color w:val="0000CC"/>
        </w:rPr>
        <w:t>Soggetti interessati</w:t>
      </w:r>
      <w:bookmarkEnd w:id="5"/>
    </w:p>
    <w:p w:rsidR="00493F24" w:rsidRPr="00D52276" w:rsidRDefault="00D52276" w:rsidP="00493F24">
      <w:pPr>
        <w:jc w:val="both"/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</w:rPr>
        <w:t xml:space="preserve">Datori di lavoro privati </w:t>
      </w:r>
      <w:r w:rsidR="00493F24" w:rsidRPr="00D52276">
        <w:rPr>
          <w:rFonts w:asciiTheme="majorHAnsi" w:eastAsia="Verdana" w:hAnsiTheme="majorHAnsi" w:cstheme="majorHAnsi"/>
        </w:rPr>
        <w:t>che, senza esservi</w:t>
      </w:r>
      <w:r>
        <w:rPr>
          <w:rFonts w:asciiTheme="majorHAnsi" w:eastAsia="Verdana" w:hAnsiTheme="majorHAnsi" w:cstheme="majorHAnsi"/>
        </w:rPr>
        <w:t xml:space="preserve"> tenuti, assumeranno giovani d’</w:t>
      </w:r>
      <w:proofErr w:type="spellStart"/>
      <w:r w:rsidR="00493F24" w:rsidRPr="00D52276">
        <w:rPr>
          <w:rFonts w:asciiTheme="majorHAnsi" w:eastAsia="Verdana" w:hAnsiTheme="majorHAnsi" w:cstheme="majorHAnsi"/>
        </w:rPr>
        <w:t>eta</w:t>
      </w:r>
      <w:proofErr w:type="spellEnd"/>
      <w:r w:rsidR="00493F24" w:rsidRPr="00D52276">
        <w:rPr>
          <w:rFonts w:asciiTheme="majorHAnsi" w:eastAsia="Verdana" w:hAnsiTheme="majorHAnsi" w:cstheme="majorHAnsi"/>
        </w:rPr>
        <w:t xml:space="preserve">̀ compresa tra i 16 e i 29 anni </w:t>
      </w:r>
      <w:r w:rsidR="005D794A" w:rsidRPr="00D52276">
        <w:rPr>
          <w:rFonts w:asciiTheme="majorHAnsi" w:eastAsia="Verdana" w:hAnsiTheme="majorHAnsi" w:cstheme="majorHAnsi"/>
        </w:rPr>
        <w:t xml:space="preserve">e 364 giorni </w:t>
      </w:r>
      <w:r w:rsidR="00493F24" w:rsidRPr="00D52276">
        <w:rPr>
          <w:rFonts w:asciiTheme="majorHAnsi" w:eastAsia="Verdana" w:hAnsiTheme="majorHAnsi" w:cstheme="majorHAnsi"/>
        </w:rPr>
        <w:t xml:space="preserve">(che abbiano assolto al diritto dovere all’istruzione e formazione, se minorenni) che non studiano, non lavorano e non sono impegnati in percorsi di formazione (cd. </w:t>
      </w:r>
      <w:r w:rsidR="00493F24" w:rsidRPr="00D52276">
        <w:rPr>
          <w:rFonts w:asciiTheme="majorHAnsi" w:eastAsia="Verdana" w:hAnsiTheme="majorHAnsi" w:cstheme="majorHAnsi"/>
          <w:b/>
          <w:color w:val="0000CC"/>
        </w:rPr>
        <w:t>NEET</w:t>
      </w:r>
      <w:r w:rsidR="00493F24" w:rsidRPr="00D52276">
        <w:rPr>
          <w:rFonts w:asciiTheme="majorHAnsi" w:eastAsia="Verdana" w:hAnsiTheme="majorHAnsi" w:cstheme="majorHAnsi"/>
        </w:rPr>
        <w:t>) e che si siano registrati al “Programma Operativo Nazionale I</w:t>
      </w:r>
      <w:r>
        <w:rPr>
          <w:rFonts w:asciiTheme="majorHAnsi" w:eastAsia="Verdana" w:hAnsiTheme="majorHAnsi" w:cstheme="majorHAnsi"/>
        </w:rPr>
        <w:t>niziativa Occupazione Giovani”.</w:t>
      </w:r>
    </w:p>
    <w:p w:rsidR="00D52276" w:rsidRDefault="00D52276" w:rsidP="00493F24">
      <w:pPr>
        <w:jc w:val="both"/>
        <w:rPr>
          <w:rFonts w:asciiTheme="majorHAnsi" w:eastAsia="Verdana" w:hAnsiTheme="majorHAnsi" w:cstheme="majorHAnsi"/>
        </w:rPr>
      </w:pPr>
    </w:p>
    <w:p w:rsidR="00493F24" w:rsidRPr="00D52276" w:rsidRDefault="00D52276" w:rsidP="00493F24">
      <w:pPr>
        <w:jc w:val="both"/>
        <w:rPr>
          <w:rFonts w:asciiTheme="majorHAnsi" w:eastAsia="Verdana" w:hAnsiTheme="majorHAnsi" w:cstheme="majorHAnsi"/>
          <w:i/>
        </w:rPr>
      </w:pPr>
      <w:r w:rsidRPr="00D52276">
        <w:rPr>
          <w:rFonts w:asciiTheme="majorHAnsi" w:eastAsia="Verdana" w:hAnsiTheme="majorHAnsi" w:cstheme="majorHAnsi"/>
          <w:i/>
        </w:rPr>
        <w:t>A</w:t>
      </w:r>
      <w:r w:rsidR="00493F24" w:rsidRPr="00D52276">
        <w:rPr>
          <w:rFonts w:asciiTheme="majorHAnsi" w:eastAsia="Verdana" w:hAnsiTheme="majorHAnsi" w:cstheme="majorHAnsi"/>
          <w:i/>
        </w:rPr>
        <w:t xml:space="preserve">nche ai datori che non sono imprenditori (studi professionali, associazioni, fondazioni, ecc.), aziende private a capitale pubblico, società cooperative che dopo il rapporto associativo sottoscrivono con i lavoratori un ulteriore contratto di lavoro subordinato. </w:t>
      </w:r>
    </w:p>
    <w:p w:rsidR="00493F24" w:rsidRPr="00D52276" w:rsidRDefault="00493F24" w:rsidP="00493F24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60" w:line="264" w:lineRule="auto"/>
        <w:ind w:left="720" w:hanging="720"/>
        <w:rPr>
          <w:rFonts w:eastAsia="HGPｺﾞｼｯｸE" w:cstheme="majorHAnsi"/>
          <w:color w:val="0000CC"/>
        </w:rPr>
      </w:pPr>
      <w:bookmarkStart w:id="6" w:name="_Toc473559465"/>
      <w:r w:rsidRPr="00D52276">
        <w:rPr>
          <w:rFonts w:cstheme="majorHAnsi"/>
          <w:color w:val="0000CC"/>
        </w:rPr>
        <w:t>Tipologie di contratto</w:t>
      </w:r>
      <w:bookmarkEnd w:id="6"/>
    </w:p>
    <w:p w:rsidR="00493F24" w:rsidRPr="00D52276" w:rsidRDefault="00493F24" w:rsidP="00493F24">
      <w:pPr>
        <w:widowControl w:val="0"/>
        <w:numPr>
          <w:ilvl w:val="0"/>
          <w:numId w:val="16"/>
        </w:numPr>
        <w:suppressAutoHyphens/>
        <w:spacing w:line="264" w:lineRule="auto"/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>i contratti a tempo indeterminato, anche a scopo di somministrazione;</w:t>
      </w:r>
    </w:p>
    <w:p w:rsidR="00493F24" w:rsidRPr="00D52276" w:rsidRDefault="00493F24" w:rsidP="00493F24">
      <w:pPr>
        <w:widowControl w:val="0"/>
        <w:numPr>
          <w:ilvl w:val="0"/>
          <w:numId w:val="16"/>
        </w:numPr>
        <w:suppressAutoHyphens/>
        <w:spacing w:line="264" w:lineRule="auto"/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>i contratti di apprendistato professionalizzante o di mestiere;</w:t>
      </w:r>
    </w:p>
    <w:p w:rsidR="00493F24" w:rsidRPr="00D52276" w:rsidRDefault="00493F24" w:rsidP="00493F24">
      <w:pPr>
        <w:widowControl w:val="0"/>
        <w:numPr>
          <w:ilvl w:val="0"/>
          <w:numId w:val="16"/>
        </w:numPr>
        <w:suppressAutoHyphens/>
        <w:spacing w:line="264" w:lineRule="auto"/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>i contratti a tempo determinato, anche a scopo di somministrazione, la cui durata sia inizialmente prevista per un periodo pari o superiore a sei mesi;</w:t>
      </w:r>
    </w:p>
    <w:p w:rsidR="00493F24" w:rsidRPr="00D52276" w:rsidRDefault="00493F24" w:rsidP="00493F24">
      <w:pPr>
        <w:widowControl w:val="0"/>
        <w:numPr>
          <w:ilvl w:val="0"/>
          <w:numId w:val="16"/>
        </w:numPr>
        <w:suppressAutoHyphens/>
        <w:spacing w:line="264" w:lineRule="auto"/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>i contratti di lavoro subordinato per il socio lavoratore di cooperativa.</w:t>
      </w:r>
    </w:p>
    <w:p w:rsidR="00493F24" w:rsidRPr="00D52276" w:rsidRDefault="00493F24" w:rsidP="00493F24">
      <w:pPr>
        <w:jc w:val="both"/>
        <w:rPr>
          <w:rFonts w:asciiTheme="majorHAnsi" w:eastAsia="Verdana" w:hAnsiTheme="majorHAnsi" w:cstheme="majorHAnsi"/>
        </w:rPr>
      </w:pPr>
    </w:p>
    <w:p w:rsidR="00493F24" w:rsidRPr="00D52276" w:rsidRDefault="00493F24" w:rsidP="00493F24">
      <w:pPr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>Una rettifica al decreto ha specificato che: “</w:t>
      </w:r>
      <w:r w:rsidRPr="00D52276">
        <w:rPr>
          <w:rFonts w:asciiTheme="majorHAnsi" w:eastAsia="Verdana" w:hAnsiTheme="majorHAnsi" w:cstheme="majorHAnsi"/>
          <w:b/>
        </w:rPr>
        <w:t>L’incentivo è escluso in caso di assunzioni con contratto di lavoro domestico, accessorio e intermittente</w:t>
      </w:r>
      <w:r w:rsidRPr="00D52276">
        <w:rPr>
          <w:rFonts w:asciiTheme="majorHAnsi" w:eastAsia="Verdana" w:hAnsiTheme="majorHAnsi" w:cstheme="majorHAnsi"/>
        </w:rPr>
        <w:t>”.</w:t>
      </w:r>
    </w:p>
    <w:p w:rsidR="00493F24" w:rsidRPr="00D52276" w:rsidRDefault="00493F24" w:rsidP="00493F24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60" w:line="264" w:lineRule="auto"/>
        <w:ind w:left="720" w:hanging="720"/>
        <w:rPr>
          <w:rFonts w:eastAsia="HGPｺﾞｼｯｸE" w:cstheme="majorHAnsi"/>
          <w:color w:val="0000CC"/>
        </w:rPr>
      </w:pPr>
      <w:bookmarkStart w:id="7" w:name="_Toc473559468"/>
      <w:r w:rsidRPr="00D52276">
        <w:rPr>
          <w:rFonts w:cstheme="majorHAnsi"/>
          <w:color w:val="0000CC"/>
        </w:rPr>
        <w:t>Requisiti</w:t>
      </w:r>
      <w:bookmarkEnd w:id="7"/>
      <w:r w:rsidR="00D52276">
        <w:rPr>
          <w:rFonts w:cstheme="majorHAnsi"/>
          <w:color w:val="0000CC"/>
        </w:rPr>
        <w:t>:</w:t>
      </w:r>
    </w:p>
    <w:p w:rsidR="00493F24" w:rsidRPr="00D52276" w:rsidRDefault="00493F24" w:rsidP="00493F24">
      <w:pPr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 xml:space="preserve">Gli incentivi vanno fruiti nel rispetto del "de </w:t>
      </w:r>
      <w:proofErr w:type="spellStart"/>
      <w:r w:rsidRPr="00D52276">
        <w:rPr>
          <w:rFonts w:asciiTheme="majorHAnsi" w:eastAsia="Verdana" w:hAnsiTheme="majorHAnsi" w:cstheme="majorHAnsi"/>
        </w:rPr>
        <w:t>minimis</w:t>
      </w:r>
      <w:proofErr w:type="spellEnd"/>
      <w:r w:rsidRPr="00D52276">
        <w:rPr>
          <w:rFonts w:asciiTheme="majorHAnsi" w:eastAsia="Verdana" w:hAnsiTheme="majorHAnsi" w:cstheme="majorHAnsi"/>
        </w:rPr>
        <w:t xml:space="preserve">", ma possono essere fruiti oltre i limiti del regime de </w:t>
      </w:r>
      <w:proofErr w:type="spellStart"/>
      <w:r w:rsidRPr="00D52276">
        <w:rPr>
          <w:rFonts w:asciiTheme="majorHAnsi" w:eastAsia="Verdana" w:hAnsiTheme="majorHAnsi" w:cstheme="majorHAnsi"/>
        </w:rPr>
        <w:t>minimis</w:t>
      </w:r>
      <w:proofErr w:type="spellEnd"/>
      <w:r w:rsidRPr="00D52276">
        <w:rPr>
          <w:rFonts w:asciiTheme="majorHAnsi" w:eastAsia="Verdana" w:hAnsiTheme="majorHAnsi" w:cstheme="majorHAnsi"/>
        </w:rPr>
        <w:t xml:space="preserve"> se l'assunzione comporti un incremento occupazionale netto, requisito non richiesto nei casi in cui il posto occupato è vacante in seguito a dimissioni volontarie, invalidità, pensionamento per raggiunti limiti d'età, riduzione volontaria dell'orario di lavoro o licenziamento per giusta causa e non in seguito a licenziamenti per riduzione del personale.</w:t>
      </w:r>
    </w:p>
    <w:p w:rsidR="00493F24" w:rsidRPr="00D52276" w:rsidRDefault="00D52276" w:rsidP="00493F24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60" w:line="264" w:lineRule="auto"/>
        <w:ind w:left="720" w:hanging="720"/>
        <w:rPr>
          <w:rFonts w:eastAsia="HGPｺﾞｼｯｸE" w:cstheme="majorHAnsi"/>
          <w:color w:val="0000CC"/>
        </w:rPr>
      </w:pPr>
      <w:bookmarkStart w:id="8" w:name="_Toc473559469"/>
      <w:proofErr w:type="spellStart"/>
      <w:r>
        <w:rPr>
          <w:rFonts w:cstheme="majorHAnsi"/>
          <w:color w:val="0000CC"/>
        </w:rPr>
        <w:t>S</w:t>
      </w:r>
      <w:r w:rsidR="00493F24" w:rsidRPr="00D52276">
        <w:rPr>
          <w:rFonts w:cstheme="majorHAnsi"/>
          <w:color w:val="0000CC"/>
        </w:rPr>
        <w:t>tep</w:t>
      </w:r>
      <w:proofErr w:type="spellEnd"/>
      <w:r w:rsidR="00493F24" w:rsidRPr="00D52276">
        <w:rPr>
          <w:rFonts w:cstheme="majorHAnsi"/>
          <w:color w:val="0000CC"/>
        </w:rPr>
        <w:t xml:space="preserve"> successivi alla domanda</w:t>
      </w:r>
      <w:bookmarkEnd w:id="8"/>
    </w:p>
    <w:p w:rsidR="00493F24" w:rsidRPr="00D52276" w:rsidRDefault="00493F24" w:rsidP="00493F24">
      <w:pPr>
        <w:widowControl w:val="0"/>
        <w:numPr>
          <w:ilvl w:val="0"/>
          <w:numId w:val="19"/>
        </w:numPr>
        <w:suppressAutoHyphens/>
        <w:spacing w:line="264" w:lineRule="auto"/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 xml:space="preserve">nei sette giorni successivi alla ricezione della comunicazione di avvenuta prenotazione da parte dell’INPS, i datori di lavoro interessati, se non lo hanno già fatto, debbono procedere alle assunzioni. </w:t>
      </w:r>
    </w:p>
    <w:p w:rsidR="00493F24" w:rsidRPr="00D52276" w:rsidRDefault="00493F24" w:rsidP="00493F24">
      <w:pPr>
        <w:widowControl w:val="0"/>
        <w:numPr>
          <w:ilvl w:val="0"/>
          <w:numId w:val="19"/>
        </w:numPr>
        <w:suppressAutoHyphens/>
        <w:spacing w:line="264" w:lineRule="auto"/>
        <w:jc w:val="both"/>
        <w:rPr>
          <w:rFonts w:asciiTheme="majorHAnsi" w:eastAsia="Verdana" w:hAnsiTheme="majorHAnsi" w:cstheme="majorHAnsi"/>
        </w:rPr>
      </w:pPr>
      <w:r w:rsidRPr="00D52276">
        <w:rPr>
          <w:rFonts w:asciiTheme="majorHAnsi" w:eastAsia="Verdana" w:hAnsiTheme="majorHAnsi" w:cstheme="majorHAnsi"/>
        </w:rPr>
        <w:t>nei dieci giorni successivi alla ricezione della avvenuta prenotazione, i datori, a pena di decadenza, debbono comunicare l’avvenuta assunzione chiedendo la conferma della prenotazione.</w:t>
      </w:r>
    </w:p>
    <w:p w:rsidR="00D52276" w:rsidRPr="00D52276" w:rsidRDefault="00D52276">
      <w:pPr>
        <w:rPr>
          <w:rFonts w:asciiTheme="majorHAnsi" w:hAnsiTheme="majorHAnsi" w:cstheme="majorHAnsi"/>
          <w:color w:val="C00000"/>
        </w:rPr>
      </w:pPr>
      <w:r w:rsidRPr="00D52276">
        <w:rPr>
          <w:rFonts w:asciiTheme="majorHAnsi" w:hAnsiTheme="majorHAnsi" w:cstheme="majorHAnsi"/>
          <w:color w:val="C00000"/>
        </w:rPr>
        <w:t>Per approfondimenti valutazioni e stima del costo  consulenza@casigliaronzoni.it</w:t>
      </w:r>
    </w:p>
    <w:p w:rsidR="00D52276" w:rsidRPr="00D52276" w:rsidRDefault="00D52276">
      <w:pPr>
        <w:rPr>
          <w:rFonts w:asciiTheme="majorHAnsi" w:hAnsiTheme="majorHAnsi" w:cstheme="majorHAnsi"/>
        </w:rPr>
      </w:pPr>
    </w:p>
    <w:p w:rsidR="00D52276" w:rsidRPr="00D52276" w:rsidRDefault="00D522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Roma 10/03/2017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D52276">
        <w:rPr>
          <w:rFonts w:asciiTheme="majorHAnsi" w:hAnsiTheme="majorHAnsi" w:cstheme="majorHAnsi"/>
        </w:rPr>
        <w:tab/>
      </w:r>
      <w:r w:rsidRPr="00D52276">
        <w:rPr>
          <w:rFonts w:asciiTheme="majorHAnsi" w:hAnsiTheme="majorHAnsi" w:cstheme="majorHAnsi"/>
        </w:rPr>
        <w:tab/>
      </w:r>
      <w:r w:rsidRPr="00D52276">
        <w:rPr>
          <w:rFonts w:asciiTheme="majorHAnsi" w:hAnsiTheme="majorHAnsi" w:cstheme="majorHAnsi"/>
        </w:rPr>
        <w:tab/>
      </w:r>
      <w:r w:rsidRPr="00D52276">
        <w:rPr>
          <w:rFonts w:asciiTheme="majorHAnsi" w:hAnsiTheme="majorHAnsi" w:cstheme="majorHAnsi"/>
        </w:rPr>
        <w:tab/>
      </w:r>
      <w:r w:rsidRPr="00D52276">
        <w:rPr>
          <w:rFonts w:asciiTheme="majorHAnsi" w:hAnsiTheme="majorHAnsi" w:cstheme="majorHAnsi"/>
        </w:rPr>
        <w:tab/>
        <w:t xml:space="preserve">Il Centro Studi </w:t>
      </w:r>
    </w:p>
    <w:sectPr w:rsidR="00D52276" w:rsidRPr="00D52276" w:rsidSect="00B22E62">
      <w:headerReference w:type="even" r:id="rId10"/>
      <w:headerReference w:type="default" r:id="rId11"/>
      <w:head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90" w:rsidRDefault="00DF7F90" w:rsidP="001E3384">
      <w:r>
        <w:separator/>
      </w:r>
    </w:p>
  </w:endnote>
  <w:endnote w:type="continuationSeparator" w:id="0">
    <w:p w:rsidR="00DF7F90" w:rsidRDefault="00DF7F90" w:rsidP="001E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T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90" w:rsidRDefault="00DF7F90" w:rsidP="001E3384">
      <w:r>
        <w:separator/>
      </w:r>
    </w:p>
  </w:footnote>
  <w:footnote w:type="continuationSeparator" w:id="0">
    <w:p w:rsidR="00DF7F90" w:rsidRDefault="00DF7F90" w:rsidP="001E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90" w:rsidRDefault="00C81E7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2.8pt;height:824.35pt;z-index:-251657216;mso-wrap-edited:f;mso-position-horizontal:center;mso-position-horizontal-relative:margin;mso-position-vertical:center;mso-position-vertical-relative:margin" wrapcoords="-27 0 -27 21560 21600 21560 21600 0 -27 0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90" w:rsidRDefault="00C81E7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82.8pt;height:824.35pt;z-index:-251658240;mso-wrap-edited:f;mso-position-horizontal:center;mso-position-horizontal-relative:margin;mso-position-vertical:center;mso-position-vertical-relative:margin" wrapcoords="-27 0 -27 21560 21600 21560 21600 0 -27 0">
          <v:imagedata r:id="rId1" o:title="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90" w:rsidRDefault="00C81E7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2.8pt;height:824.35pt;z-index:-251656192;mso-wrap-edited:f;mso-position-horizontal:center;mso-position-horizontal-relative:margin;mso-position-vertical:center;mso-position-vertical-relative:margin" wrapcoords="-27 0 -27 21560 21600 21560 21600 0 -27 0">
          <v:imagedata r:id="rId1" o:title="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A43D0C"/>
    <w:lvl w:ilvl="0">
      <w:numFmt w:val="bullet"/>
      <w:lvlText w:val="*"/>
      <w:lvlJc w:val="left"/>
    </w:lvl>
  </w:abstractNum>
  <w:abstractNum w:abstractNumId="1">
    <w:nsid w:val="05AC4581"/>
    <w:multiLevelType w:val="hybridMultilevel"/>
    <w:tmpl w:val="CB40F45A"/>
    <w:lvl w:ilvl="0" w:tplc="E1B800F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78D6"/>
    <w:multiLevelType w:val="hybridMultilevel"/>
    <w:tmpl w:val="F3A46E10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A4C0159"/>
    <w:multiLevelType w:val="hybridMultilevel"/>
    <w:tmpl w:val="A91C110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>
      <w:start w:val="1"/>
      <w:numFmt w:val="lowerLetter"/>
      <w:lvlText w:val="%5."/>
      <w:lvlJc w:val="left"/>
      <w:pPr>
        <w:ind w:left="4233" w:hanging="360"/>
      </w:pPr>
    </w:lvl>
    <w:lvl w:ilvl="5" w:tplc="0410001B">
      <w:start w:val="1"/>
      <w:numFmt w:val="lowerRoman"/>
      <w:lvlText w:val="%6."/>
      <w:lvlJc w:val="right"/>
      <w:pPr>
        <w:ind w:left="4953" w:hanging="180"/>
      </w:pPr>
    </w:lvl>
    <w:lvl w:ilvl="6" w:tplc="0410000F">
      <w:start w:val="1"/>
      <w:numFmt w:val="decimal"/>
      <w:lvlText w:val="%7."/>
      <w:lvlJc w:val="left"/>
      <w:pPr>
        <w:ind w:left="5673" w:hanging="360"/>
      </w:pPr>
    </w:lvl>
    <w:lvl w:ilvl="7" w:tplc="04100019">
      <w:start w:val="1"/>
      <w:numFmt w:val="lowerLetter"/>
      <w:lvlText w:val="%8."/>
      <w:lvlJc w:val="left"/>
      <w:pPr>
        <w:ind w:left="6393" w:hanging="360"/>
      </w:pPr>
    </w:lvl>
    <w:lvl w:ilvl="8" w:tplc="0410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DB2FA5"/>
    <w:multiLevelType w:val="hybridMultilevel"/>
    <w:tmpl w:val="EC900474"/>
    <w:lvl w:ilvl="0" w:tplc="0410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612AA1"/>
    <w:multiLevelType w:val="hybridMultilevel"/>
    <w:tmpl w:val="56428F90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DB70485"/>
    <w:multiLevelType w:val="hybridMultilevel"/>
    <w:tmpl w:val="871244F0"/>
    <w:lvl w:ilvl="0" w:tplc="F7622986">
      <w:start w:val="1"/>
      <w:numFmt w:val="bullet"/>
      <w:pStyle w:val="testopuntoelenco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trike w:val="0"/>
        <w:color w:val="auto"/>
        <w:sz w:val="20"/>
        <w:szCs w:val="20"/>
      </w:rPr>
    </w:lvl>
    <w:lvl w:ilvl="1" w:tplc="1442A8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42DF1"/>
    <w:multiLevelType w:val="hybridMultilevel"/>
    <w:tmpl w:val="C86A0A7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2EB1B18"/>
    <w:multiLevelType w:val="hybridMultilevel"/>
    <w:tmpl w:val="60E80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42E94"/>
    <w:multiLevelType w:val="hybridMultilevel"/>
    <w:tmpl w:val="3DF2E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D1E20"/>
    <w:multiLevelType w:val="hybridMultilevel"/>
    <w:tmpl w:val="BA4EDC14"/>
    <w:lvl w:ilvl="0" w:tplc="605AB852">
      <w:start w:val="1"/>
      <w:numFmt w:val="decimal"/>
      <w:lvlText w:val="%1)"/>
      <w:lvlJc w:val="left"/>
      <w:pPr>
        <w:tabs>
          <w:tab w:val="num" w:pos="2319"/>
        </w:tabs>
        <w:ind w:left="2319" w:hanging="1185"/>
      </w:p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29339C9"/>
    <w:multiLevelType w:val="hybridMultilevel"/>
    <w:tmpl w:val="02C218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B0496"/>
    <w:multiLevelType w:val="hybridMultilevel"/>
    <w:tmpl w:val="310E42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20523A"/>
    <w:multiLevelType w:val="hybridMultilevel"/>
    <w:tmpl w:val="7848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90B99"/>
    <w:multiLevelType w:val="hybridMultilevel"/>
    <w:tmpl w:val="3162C31C"/>
    <w:lvl w:ilvl="0" w:tplc="0410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EFA6A30"/>
    <w:multiLevelType w:val="hybridMultilevel"/>
    <w:tmpl w:val="7AFC890C"/>
    <w:lvl w:ilvl="0" w:tplc="6A5CCC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E6549E"/>
    <w:multiLevelType w:val="hybridMultilevel"/>
    <w:tmpl w:val="100E3F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CE4E11"/>
    <w:multiLevelType w:val="hybridMultilevel"/>
    <w:tmpl w:val="406AA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7"/>
  </w:num>
  <w:num w:numId="6">
    <w:abstractNumId w:val="16"/>
  </w:num>
  <w:num w:numId="7">
    <w:abstractNumId w:val="5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4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6"/>
  </w:num>
  <w:num w:numId="16">
    <w:abstractNumId w:val="9"/>
  </w:num>
  <w:num w:numId="17">
    <w:abstractNumId w:val="1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84"/>
    <w:rsid w:val="00023BBB"/>
    <w:rsid w:val="0002603D"/>
    <w:rsid w:val="000A532B"/>
    <w:rsid w:val="00104DD2"/>
    <w:rsid w:val="001073F8"/>
    <w:rsid w:val="0011738F"/>
    <w:rsid w:val="001818EE"/>
    <w:rsid w:val="001C76FB"/>
    <w:rsid w:val="001E3384"/>
    <w:rsid w:val="0021068B"/>
    <w:rsid w:val="00212B22"/>
    <w:rsid w:val="002356E8"/>
    <w:rsid w:val="00272034"/>
    <w:rsid w:val="002945F1"/>
    <w:rsid w:val="002A2F16"/>
    <w:rsid w:val="003726FB"/>
    <w:rsid w:val="003817C1"/>
    <w:rsid w:val="003F2641"/>
    <w:rsid w:val="0041632D"/>
    <w:rsid w:val="0044598B"/>
    <w:rsid w:val="00446122"/>
    <w:rsid w:val="00493F24"/>
    <w:rsid w:val="004F1627"/>
    <w:rsid w:val="00512C5B"/>
    <w:rsid w:val="00565251"/>
    <w:rsid w:val="005D794A"/>
    <w:rsid w:val="006452CE"/>
    <w:rsid w:val="0065631E"/>
    <w:rsid w:val="00662928"/>
    <w:rsid w:val="00695AD9"/>
    <w:rsid w:val="006A6F96"/>
    <w:rsid w:val="006F6FDC"/>
    <w:rsid w:val="0072388E"/>
    <w:rsid w:val="00733AC0"/>
    <w:rsid w:val="00751DB6"/>
    <w:rsid w:val="007B548A"/>
    <w:rsid w:val="007F3E78"/>
    <w:rsid w:val="008317F4"/>
    <w:rsid w:val="0083434B"/>
    <w:rsid w:val="008A6296"/>
    <w:rsid w:val="008C1440"/>
    <w:rsid w:val="00961C3C"/>
    <w:rsid w:val="009D41D9"/>
    <w:rsid w:val="009E1398"/>
    <w:rsid w:val="00A24A2C"/>
    <w:rsid w:val="00A33F4A"/>
    <w:rsid w:val="00A52FE3"/>
    <w:rsid w:val="00B22E62"/>
    <w:rsid w:val="00B4450A"/>
    <w:rsid w:val="00C43478"/>
    <w:rsid w:val="00C46453"/>
    <w:rsid w:val="00C474C2"/>
    <w:rsid w:val="00C81E71"/>
    <w:rsid w:val="00D352CE"/>
    <w:rsid w:val="00D52276"/>
    <w:rsid w:val="00D71DE9"/>
    <w:rsid w:val="00D94E4A"/>
    <w:rsid w:val="00DC4C0A"/>
    <w:rsid w:val="00DF7F90"/>
    <w:rsid w:val="00E7194B"/>
    <w:rsid w:val="00E71EE2"/>
    <w:rsid w:val="00EB0EF4"/>
    <w:rsid w:val="00EB4E11"/>
    <w:rsid w:val="00F05863"/>
    <w:rsid w:val="00F25C59"/>
    <w:rsid w:val="00F90D09"/>
    <w:rsid w:val="00FB080F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B10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384"/>
  </w:style>
  <w:style w:type="paragraph" w:styleId="Pidipagina">
    <w:name w:val="footer"/>
    <w:basedOn w:val="Normale"/>
    <w:link w:val="PidipaginaCarattere"/>
    <w:uiPriority w:val="99"/>
    <w:unhideWhenUsed/>
    <w:rsid w:val="001E3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384"/>
  </w:style>
  <w:style w:type="character" w:customStyle="1" w:styleId="Titolo1Carattere">
    <w:name w:val="Titolo 1 Carattere"/>
    <w:basedOn w:val="Carpredefinitoparagrafo"/>
    <w:link w:val="Titolo1"/>
    <w:rsid w:val="00FB10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eWeb">
    <w:name w:val="Normal (Web)"/>
    <w:basedOn w:val="Normale"/>
    <w:unhideWhenUsed/>
    <w:rsid w:val="00FB10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nhideWhenUsed/>
    <w:rsid w:val="00FB104A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B104A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B104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04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5631E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563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65631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65631E"/>
    <w:pPr>
      <w:suppressAutoHyphens/>
      <w:jc w:val="center"/>
    </w:pPr>
    <w:rPr>
      <w:rFonts w:ascii="Bookman Old Style" w:eastAsia="Times New Roman" w:hAnsi="Bookman Old Style" w:cs="Bookman Old Style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31E"/>
    <w:rPr>
      <w:rFonts w:ascii="Bookman Old Style" w:eastAsia="Times New Roman" w:hAnsi="Bookman Old Style" w:cs="Bookman Old Style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31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695AD9"/>
    <w:rPr>
      <w:color w:val="0000FF" w:themeColor="hyperlink"/>
      <w:u w:val="single"/>
    </w:rPr>
  </w:style>
  <w:style w:type="paragraph" w:customStyle="1" w:styleId="corpotestoinformativa">
    <w:name w:val="corpo testo informativa"/>
    <w:link w:val="corpotestoinformativaCarattere"/>
    <w:rsid w:val="00695AD9"/>
    <w:pPr>
      <w:spacing w:line="320" w:lineRule="exact"/>
      <w:jc w:val="both"/>
    </w:pPr>
    <w:rPr>
      <w:rFonts w:ascii="PT Sans" w:eastAsia="Times New Roman" w:hAnsi="PT Sans" w:cs="Times New Roman"/>
      <w:sz w:val="22"/>
      <w:szCs w:val="20"/>
    </w:rPr>
  </w:style>
  <w:style w:type="paragraph" w:customStyle="1" w:styleId="rubrica">
    <w:name w:val="rubrica"/>
    <w:rsid w:val="00695AD9"/>
    <w:rPr>
      <w:rFonts w:ascii="PT Sans" w:eastAsia="Times New Roman" w:hAnsi="PT Sans" w:cs="Arial"/>
      <w:b/>
      <w:sz w:val="32"/>
      <w:szCs w:val="32"/>
    </w:rPr>
  </w:style>
  <w:style w:type="paragraph" w:customStyle="1" w:styleId="testopuntoelenco">
    <w:name w:val="testo punto elenco"/>
    <w:rsid w:val="00695AD9"/>
    <w:pPr>
      <w:numPr>
        <w:numId w:val="15"/>
      </w:numPr>
      <w:spacing w:line="320" w:lineRule="exact"/>
      <w:jc w:val="both"/>
    </w:pPr>
    <w:rPr>
      <w:rFonts w:ascii="PT Sans" w:eastAsia="Times New Roman" w:hAnsi="PT Sans" w:cs="Arial"/>
      <w:sz w:val="22"/>
      <w:szCs w:val="22"/>
    </w:rPr>
  </w:style>
  <w:style w:type="character" w:customStyle="1" w:styleId="corpotestoinformativaCarattere">
    <w:name w:val="corpo testo informativa Carattere"/>
    <w:link w:val="corpotestoinformativa"/>
    <w:rsid w:val="00695AD9"/>
    <w:rPr>
      <w:rFonts w:ascii="PT Sans" w:eastAsia="Times New Roman" w:hAnsi="PT Sans" w:cs="Times New Roman"/>
      <w:sz w:val="22"/>
      <w:szCs w:val="20"/>
    </w:rPr>
  </w:style>
  <w:style w:type="paragraph" w:customStyle="1" w:styleId="titoloinformativa">
    <w:name w:val="titolo informativa"/>
    <w:rsid w:val="00695AD9"/>
    <w:pPr>
      <w:spacing w:line="320" w:lineRule="exact"/>
      <w:jc w:val="center"/>
    </w:pPr>
    <w:rPr>
      <w:rFonts w:ascii="PT Sans" w:eastAsia="Times New Roman" w:hAnsi="PT Sans" w:cs="Times New Roman"/>
      <w:b/>
      <w:bCs/>
      <w:szCs w:val="20"/>
    </w:rPr>
  </w:style>
  <w:style w:type="character" w:customStyle="1" w:styleId="firma">
    <w:name w:val="firma"/>
    <w:rsid w:val="00695AD9"/>
    <w:rPr>
      <w:rFonts w:ascii="PT Sans" w:hAnsi="PT Sans"/>
      <w:b/>
      <w:bCs/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3F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B10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3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384"/>
  </w:style>
  <w:style w:type="paragraph" w:styleId="Pidipagina">
    <w:name w:val="footer"/>
    <w:basedOn w:val="Normale"/>
    <w:link w:val="PidipaginaCarattere"/>
    <w:uiPriority w:val="99"/>
    <w:unhideWhenUsed/>
    <w:rsid w:val="001E3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384"/>
  </w:style>
  <w:style w:type="character" w:customStyle="1" w:styleId="Titolo1Carattere">
    <w:name w:val="Titolo 1 Carattere"/>
    <w:basedOn w:val="Carpredefinitoparagrafo"/>
    <w:link w:val="Titolo1"/>
    <w:rsid w:val="00FB10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eWeb">
    <w:name w:val="Normal (Web)"/>
    <w:basedOn w:val="Normale"/>
    <w:unhideWhenUsed/>
    <w:rsid w:val="00FB10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nhideWhenUsed/>
    <w:rsid w:val="00FB104A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B104A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B104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04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5631E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563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65631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65631E"/>
    <w:pPr>
      <w:suppressAutoHyphens/>
      <w:jc w:val="center"/>
    </w:pPr>
    <w:rPr>
      <w:rFonts w:ascii="Bookman Old Style" w:eastAsia="Times New Roman" w:hAnsi="Bookman Old Style" w:cs="Bookman Old Style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31E"/>
    <w:rPr>
      <w:rFonts w:ascii="Bookman Old Style" w:eastAsia="Times New Roman" w:hAnsi="Bookman Old Style" w:cs="Bookman Old Style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31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695AD9"/>
    <w:rPr>
      <w:color w:val="0000FF" w:themeColor="hyperlink"/>
      <w:u w:val="single"/>
    </w:rPr>
  </w:style>
  <w:style w:type="paragraph" w:customStyle="1" w:styleId="corpotestoinformativa">
    <w:name w:val="corpo testo informativa"/>
    <w:link w:val="corpotestoinformativaCarattere"/>
    <w:rsid w:val="00695AD9"/>
    <w:pPr>
      <w:spacing w:line="320" w:lineRule="exact"/>
      <w:jc w:val="both"/>
    </w:pPr>
    <w:rPr>
      <w:rFonts w:ascii="PT Sans" w:eastAsia="Times New Roman" w:hAnsi="PT Sans" w:cs="Times New Roman"/>
      <w:sz w:val="22"/>
      <w:szCs w:val="20"/>
    </w:rPr>
  </w:style>
  <w:style w:type="paragraph" w:customStyle="1" w:styleId="rubrica">
    <w:name w:val="rubrica"/>
    <w:rsid w:val="00695AD9"/>
    <w:rPr>
      <w:rFonts w:ascii="PT Sans" w:eastAsia="Times New Roman" w:hAnsi="PT Sans" w:cs="Arial"/>
      <w:b/>
      <w:sz w:val="32"/>
      <w:szCs w:val="32"/>
    </w:rPr>
  </w:style>
  <w:style w:type="paragraph" w:customStyle="1" w:styleId="testopuntoelenco">
    <w:name w:val="testo punto elenco"/>
    <w:rsid w:val="00695AD9"/>
    <w:pPr>
      <w:numPr>
        <w:numId w:val="15"/>
      </w:numPr>
      <w:spacing w:line="320" w:lineRule="exact"/>
      <w:jc w:val="both"/>
    </w:pPr>
    <w:rPr>
      <w:rFonts w:ascii="PT Sans" w:eastAsia="Times New Roman" w:hAnsi="PT Sans" w:cs="Arial"/>
      <w:sz w:val="22"/>
      <w:szCs w:val="22"/>
    </w:rPr>
  </w:style>
  <w:style w:type="character" w:customStyle="1" w:styleId="corpotestoinformativaCarattere">
    <w:name w:val="corpo testo informativa Carattere"/>
    <w:link w:val="corpotestoinformativa"/>
    <w:rsid w:val="00695AD9"/>
    <w:rPr>
      <w:rFonts w:ascii="PT Sans" w:eastAsia="Times New Roman" w:hAnsi="PT Sans" w:cs="Times New Roman"/>
      <w:sz w:val="22"/>
      <w:szCs w:val="20"/>
    </w:rPr>
  </w:style>
  <w:style w:type="paragraph" w:customStyle="1" w:styleId="titoloinformativa">
    <w:name w:val="titolo informativa"/>
    <w:rsid w:val="00695AD9"/>
    <w:pPr>
      <w:spacing w:line="320" w:lineRule="exact"/>
      <w:jc w:val="center"/>
    </w:pPr>
    <w:rPr>
      <w:rFonts w:ascii="PT Sans" w:eastAsia="Times New Roman" w:hAnsi="PT Sans" w:cs="Times New Roman"/>
      <w:b/>
      <w:bCs/>
      <w:szCs w:val="20"/>
    </w:rPr>
  </w:style>
  <w:style w:type="character" w:customStyle="1" w:styleId="firma">
    <w:name w:val="firma"/>
    <w:rsid w:val="00695AD9"/>
    <w:rPr>
      <w:rFonts w:ascii="PT Sans" w:hAnsi="PT Sans"/>
      <w:b/>
      <w:bCs/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3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3F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35B7-A1A5-4494-926E-37AE8C10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Agosto</cp:lastModifiedBy>
  <cp:revision>15</cp:revision>
  <cp:lastPrinted>2017-01-17T15:37:00Z</cp:lastPrinted>
  <dcterms:created xsi:type="dcterms:W3CDTF">2017-02-13T09:53:00Z</dcterms:created>
  <dcterms:modified xsi:type="dcterms:W3CDTF">2017-03-10T15:14:00Z</dcterms:modified>
</cp:coreProperties>
</file>